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Cs/>
          <w:sz w:val="32"/>
          <w:szCs w:val="32"/>
        </w:rPr>
        <w:t>一阶段现场审核计划</w:t>
      </w:r>
    </w:p>
    <w:tbl>
      <w:tblPr>
        <w:tblStyle w:val="5"/>
        <w:tblW w:w="102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94"/>
        <w:gridCol w:w="90"/>
        <w:gridCol w:w="690"/>
        <w:gridCol w:w="720"/>
        <w:gridCol w:w="149"/>
        <w:gridCol w:w="992"/>
        <w:gridCol w:w="142"/>
        <w:gridCol w:w="1559"/>
        <w:gridCol w:w="567"/>
        <w:gridCol w:w="1134"/>
        <w:gridCol w:w="284"/>
        <w:gridCol w:w="425"/>
        <w:gridCol w:w="425"/>
        <w:gridCol w:w="425"/>
        <w:gridCol w:w="12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受审核方</w:t>
            </w:r>
          </w:p>
        </w:tc>
        <w:tc>
          <w:tcPr>
            <w:tcW w:w="8741" w:type="dxa"/>
            <w:gridSpan w:val="13"/>
            <w:vAlign w:val="center"/>
          </w:tcPr>
          <w:p>
            <w:pPr>
              <w:rPr>
                <w:sz w:val="21"/>
                <w:szCs w:val="21"/>
              </w:rPr>
            </w:pPr>
            <w:bookmarkStart w:id="0" w:name="组织名称"/>
            <w:r>
              <w:rPr>
                <w:sz w:val="21"/>
                <w:szCs w:val="21"/>
              </w:rPr>
              <w:t>西安洛科电子科技股份有限公司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合同编号.</w:t>
            </w:r>
          </w:p>
        </w:tc>
        <w:tc>
          <w:tcPr>
            <w:tcW w:w="2551" w:type="dxa"/>
            <w:gridSpan w:val="4"/>
            <w:vAlign w:val="center"/>
          </w:tcPr>
          <w:p>
            <w:pPr>
              <w:rPr>
                <w:sz w:val="21"/>
                <w:szCs w:val="21"/>
              </w:rPr>
            </w:pPr>
            <w:bookmarkStart w:id="1" w:name="合同编号"/>
            <w:r>
              <w:rPr>
                <w:sz w:val="21"/>
                <w:szCs w:val="21"/>
              </w:rPr>
              <w:t>0250-2021-QO</w:t>
            </w:r>
            <w:bookmarkEnd w:id="1"/>
          </w:p>
        </w:tc>
        <w:tc>
          <w:tcPr>
            <w:tcW w:w="1701" w:type="dxa"/>
            <w:gridSpan w:val="2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审核领域</w:t>
            </w:r>
          </w:p>
        </w:tc>
        <w:tc>
          <w:tcPr>
            <w:tcW w:w="4489" w:type="dxa"/>
            <w:gridSpan w:val="7"/>
            <w:vAlign w:val="center"/>
          </w:tcPr>
          <w:p>
            <w:pPr>
              <w:rPr>
                <w:sz w:val="21"/>
                <w:szCs w:val="21"/>
              </w:rPr>
            </w:pPr>
            <w:bookmarkStart w:id="2" w:name="Q勾选"/>
            <w:r>
              <w:rPr>
                <w:rFonts w:hint="eastAsia"/>
                <w:sz w:val="21"/>
                <w:szCs w:val="21"/>
              </w:rPr>
              <w:t>■</w:t>
            </w:r>
            <w:bookmarkEnd w:id="2"/>
            <w:r>
              <w:rPr>
                <w:spacing w:val="-2"/>
                <w:sz w:val="21"/>
                <w:szCs w:val="21"/>
              </w:rPr>
              <w:t>QMS</w:t>
            </w:r>
            <w:bookmarkStart w:id="3" w:name="E勾选"/>
            <w:r>
              <w:rPr>
                <w:rFonts w:hint="eastAsia"/>
                <w:sz w:val="21"/>
                <w:szCs w:val="21"/>
              </w:rPr>
              <w:t>□</w:t>
            </w:r>
            <w:bookmarkEnd w:id="3"/>
            <w:r>
              <w:rPr>
                <w:spacing w:val="-2"/>
                <w:sz w:val="21"/>
                <w:szCs w:val="21"/>
              </w:rPr>
              <w:t>EMS</w:t>
            </w:r>
            <w:bookmarkStart w:id="4" w:name="S勾选"/>
            <w:r>
              <w:rPr>
                <w:rFonts w:hint="eastAsia"/>
                <w:sz w:val="21"/>
                <w:szCs w:val="21"/>
              </w:rPr>
              <w:t>■</w:t>
            </w:r>
            <w:bookmarkEnd w:id="4"/>
            <w:r>
              <w:rPr>
                <w:spacing w:val="-2"/>
                <w:sz w:val="21"/>
                <w:szCs w:val="21"/>
              </w:rPr>
              <w:t>OHSMS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联系人</w:t>
            </w:r>
          </w:p>
        </w:tc>
        <w:tc>
          <w:tcPr>
            <w:tcW w:w="2551" w:type="dxa"/>
            <w:gridSpan w:val="4"/>
            <w:vAlign w:val="center"/>
          </w:tcPr>
          <w:p>
            <w:pPr>
              <w:rPr>
                <w:sz w:val="21"/>
                <w:szCs w:val="21"/>
              </w:rPr>
            </w:pPr>
            <w:bookmarkStart w:id="5" w:name="联系人"/>
            <w:r>
              <w:rPr>
                <w:sz w:val="21"/>
                <w:szCs w:val="21"/>
              </w:rPr>
              <w:t>李希孝</w:t>
            </w:r>
            <w:bookmarkEnd w:id="5"/>
          </w:p>
        </w:tc>
        <w:tc>
          <w:tcPr>
            <w:tcW w:w="1701" w:type="dxa"/>
            <w:gridSpan w:val="2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rPr>
                <w:sz w:val="21"/>
                <w:szCs w:val="21"/>
              </w:rPr>
            </w:pPr>
            <w:bookmarkStart w:id="6" w:name="联系人电话"/>
            <w:r>
              <w:rPr>
                <w:sz w:val="21"/>
                <w:szCs w:val="21"/>
              </w:rPr>
              <w:t>13759985988</w:t>
            </w:r>
            <w:bookmarkEnd w:id="6"/>
          </w:p>
        </w:tc>
        <w:tc>
          <w:tcPr>
            <w:tcW w:w="709" w:type="dxa"/>
            <w:gridSpan w:val="2"/>
            <w:vMerge w:val="restart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邮箱</w:t>
            </w:r>
          </w:p>
        </w:tc>
        <w:tc>
          <w:tcPr>
            <w:tcW w:w="2079" w:type="dxa"/>
            <w:gridSpan w:val="3"/>
            <w:vMerge w:val="restart"/>
            <w:vAlign w:val="center"/>
          </w:tcPr>
          <w:p>
            <w:pPr>
              <w:rPr>
                <w:sz w:val="21"/>
                <w:szCs w:val="21"/>
              </w:rPr>
            </w:pPr>
            <w:bookmarkStart w:id="7" w:name="联系人邮箱"/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最高管理者</w:t>
            </w:r>
          </w:p>
        </w:tc>
        <w:tc>
          <w:tcPr>
            <w:tcW w:w="2551" w:type="dxa"/>
            <w:gridSpan w:val="4"/>
            <w:vAlign w:val="center"/>
          </w:tcPr>
          <w:p>
            <w:pPr>
              <w:rPr>
                <w:sz w:val="21"/>
                <w:szCs w:val="21"/>
              </w:rPr>
            </w:pPr>
            <w:bookmarkStart w:id="8" w:name="最高管理者"/>
            <w:bookmarkEnd w:id="8"/>
          </w:p>
        </w:tc>
        <w:tc>
          <w:tcPr>
            <w:tcW w:w="1701" w:type="dxa"/>
            <w:gridSpan w:val="2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传真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rPr>
                <w:sz w:val="21"/>
                <w:szCs w:val="21"/>
              </w:rPr>
            </w:pPr>
            <w:bookmarkStart w:id="9" w:name="联系人传真"/>
            <w:bookmarkEnd w:id="9"/>
          </w:p>
        </w:tc>
        <w:tc>
          <w:tcPr>
            <w:tcW w:w="709" w:type="dxa"/>
            <w:gridSpan w:val="2"/>
            <w:vMerge w:val="continue"/>
            <w:vAlign w:val="center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2079" w:type="dxa"/>
            <w:gridSpan w:val="3"/>
            <w:vMerge w:val="continue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审核目的</w:t>
            </w:r>
          </w:p>
        </w:tc>
        <w:tc>
          <w:tcPr>
            <w:tcW w:w="8741" w:type="dxa"/>
            <w:gridSpan w:val="13"/>
            <w:vAlign w:val="center"/>
          </w:tcPr>
          <w:p>
            <w:pPr>
              <w:textAlignment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1、了解组织的基本情况（现场分布、产品和生产工艺）。</w:t>
            </w:r>
          </w:p>
          <w:p>
            <w:pPr>
              <w:ind w:left="316" w:hanging="316" w:hangingChars="150"/>
              <w:textAlignment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2、了解组织建立的管理体系对认证审核的准备程度，确认是否具备第二阶段审核的条件，确定第二阶段审核的重点及资源配置。</w:t>
            </w:r>
          </w:p>
          <w:p>
            <w:pPr>
              <w:rPr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3、确认审核范围和认证范围。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审核范围</w:t>
            </w:r>
          </w:p>
        </w:tc>
        <w:tc>
          <w:tcPr>
            <w:tcW w:w="6237" w:type="dxa"/>
            <w:gridSpan w:val="9"/>
            <w:vAlign w:val="center"/>
          </w:tcPr>
          <w:p>
            <w:pPr>
              <w:rPr>
                <w:sz w:val="21"/>
                <w:szCs w:val="21"/>
              </w:rPr>
            </w:pPr>
            <w:bookmarkStart w:id="10" w:name="审核范围"/>
            <w:r>
              <w:rPr>
                <w:sz w:val="21"/>
                <w:szCs w:val="21"/>
              </w:rPr>
              <w:t>Q：石油仪器仪表、石油专用工具及配件的设计、生产、销售和技术服务（许可范围内）；计算机软件开发；信息系统集成 。</w:t>
            </w:r>
          </w:p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O：石油仪器仪表、石油专用工具及配件的设计、生产、销售和技术服务（许可范围内）；计算机软件开发；信息系统集成所涉及场所的相关职业健康安全管理活动</w:t>
            </w:r>
            <w:bookmarkEnd w:id="10"/>
          </w:p>
        </w:tc>
        <w:tc>
          <w:tcPr>
            <w:tcW w:w="850" w:type="dxa"/>
            <w:gridSpan w:val="2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</w:t>
            </w:r>
          </w:p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代码</w:t>
            </w:r>
          </w:p>
        </w:tc>
        <w:tc>
          <w:tcPr>
            <w:tcW w:w="1654" w:type="dxa"/>
            <w:gridSpan w:val="2"/>
            <w:vAlign w:val="center"/>
          </w:tcPr>
          <w:p>
            <w:pPr>
              <w:rPr>
                <w:sz w:val="21"/>
                <w:szCs w:val="21"/>
              </w:rPr>
            </w:pPr>
            <w:bookmarkStart w:id="11" w:name="专业代码"/>
            <w:r>
              <w:rPr>
                <w:sz w:val="21"/>
                <w:szCs w:val="21"/>
              </w:rPr>
              <w:t>Q：18.05.02;19.05.01;33.02.01;33.02.02;34.06.00</w:t>
            </w:r>
          </w:p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O：18.05.02;19.05.01;33.02.01;33.02.02;34.06.00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审核准则</w:t>
            </w:r>
          </w:p>
        </w:tc>
        <w:tc>
          <w:tcPr>
            <w:tcW w:w="8741" w:type="dxa"/>
            <w:gridSpan w:val="13"/>
            <w:vAlign w:val="center"/>
          </w:tcPr>
          <w:p>
            <w:pPr>
              <w:rPr>
                <w:rFonts w:ascii="宋体" w:hAnsi="宋体"/>
                <w:b/>
                <w:sz w:val="21"/>
                <w:szCs w:val="21"/>
              </w:rPr>
            </w:pPr>
            <w:bookmarkStart w:id="12" w:name="审核依据"/>
            <w:r>
              <w:rPr>
                <w:rFonts w:hint="eastAsia" w:ascii="宋体" w:hAnsi="宋体"/>
                <w:b/>
                <w:sz w:val="21"/>
                <w:szCs w:val="21"/>
              </w:rPr>
              <w:t>Q：GB/T19001-2016/ISO9001:2015,O：GB/T45001-2020 / ISO45001：2018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审核日期</w:t>
            </w:r>
          </w:p>
        </w:tc>
        <w:tc>
          <w:tcPr>
            <w:tcW w:w="8741" w:type="dxa"/>
            <w:gridSpan w:val="13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ind w:left="-108" w:leftChars="-45" w:firstLine="211" w:firstLineChars="100"/>
              <w:rPr>
                <w:b/>
                <w:sz w:val="21"/>
                <w:szCs w:val="21"/>
                <w:lang w:val="de-DE"/>
              </w:rPr>
            </w:pPr>
            <w:r>
              <w:rPr>
                <w:rFonts w:hint="eastAsia"/>
                <w:b/>
                <w:sz w:val="21"/>
                <w:szCs w:val="21"/>
              </w:rPr>
              <w:t>现场审核于</w:t>
            </w:r>
            <w:bookmarkStart w:id="13" w:name="审核日期安排"/>
            <w:r>
              <w:rPr>
                <w:rFonts w:hint="eastAsia"/>
                <w:b/>
                <w:sz w:val="21"/>
                <w:szCs w:val="21"/>
              </w:rPr>
              <w:t>2021年03月29日 下午至2021年03月30日 上午 (共1.0天)</w:t>
            </w:r>
            <w:bookmarkEnd w:id="13"/>
            <w:r>
              <w:rPr>
                <w:rFonts w:hint="eastAsia"/>
                <w:b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审核语言</w:t>
            </w:r>
          </w:p>
        </w:tc>
        <w:tc>
          <w:tcPr>
            <w:tcW w:w="8741" w:type="dxa"/>
            <w:gridSpan w:val="13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de-DE"/>
              </w:rPr>
              <w:sym w:font="Wingdings 2" w:char="0052"/>
            </w:r>
            <w:r>
              <w:rPr>
                <w:rFonts w:hint="eastAsia"/>
                <w:b/>
                <w:sz w:val="21"/>
                <w:szCs w:val="21"/>
              </w:rPr>
              <w:t>普通话</w:t>
            </w:r>
            <w:r>
              <w:rPr>
                <w:rFonts w:hint="eastAsia"/>
                <w:sz w:val="21"/>
                <w:szCs w:val="21"/>
                <w:lang w:val="de-DE"/>
              </w:rPr>
              <w:t>□</w:t>
            </w:r>
            <w:r>
              <w:rPr>
                <w:rFonts w:hint="eastAsia"/>
                <w:b/>
                <w:sz w:val="21"/>
                <w:szCs w:val="21"/>
              </w:rPr>
              <w:t>英语</w:t>
            </w:r>
            <w:r>
              <w:rPr>
                <w:rFonts w:hint="eastAsia"/>
                <w:sz w:val="21"/>
                <w:szCs w:val="21"/>
                <w:lang w:val="de-DE"/>
              </w:rPr>
              <w:t>□</w:t>
            </w:r>
            <w:r>
              <w:rPr>
                <w:rFonts w:hint="eastAsia"/>
                <w:b/>
                <w:sz w:val="21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0226" w:type="dxa"/>
            <w:gridSpan w:val="16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审核员信息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395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780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组内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身份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性别</w:t>
            </w:r>
          </w:p>
        </w:tc>
        <w:tc>
          <w:tcPr>
            <w:tcW w:w="1141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注册资格</w:t>
            </w:r>
          </w:p>
        </w:tc>
        <w:tc>
          <w:tcPr>
            <w:tcW w:w="3402" w:type="dxa"/>
            <w:gridSpan w:val="4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专业代码</w:t>
            </w:r>
          </w:p>
        </w:tc>
        <w:tc>
          <w:tcPr>
            <w:tcW w:w="1559" w:type="dxa"/>
            <w:gridSpan w:val="4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组内代号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395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李俐</w:t>
            </w:r>
          </w:p>
        </w:tc>
        <w:tc>
          <w:tcPr>
            <w:tcW w:w="780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组长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女</w:t>
            </w:r>
          </w:p>
        </w:tc>
        <w:tc>
          <w:tcPr>
            <w:tcW w:w="1141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Q:审核员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O:审核员</w:t>
            </w:r>
          </w:p>
        </w:tc>
        <w:tc>
          <w:tcPr>
            <w:tcW w:w="3402" w:type="dxa"/>
            <w:gridSpan w:val="4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Q:18.05.02,19.05.01,33.02.01,34.06.00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O:18.05.02,19.05.01,33.02.01,34.06.00</w:t>
            </w:r>
          </w:p>
        </w:tc>
        <w:tc>
          <w:tcPr>
            <w:tcW w:w="1559" w:type="dxa"/>
            <w:gridSpan w:val="4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13709207775、15389253253</w:t>
            </w: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ISC[S]0008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395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强兴</w:t>
            </w:r>
          </w:p>
        </w:tc>
        <w:tc>
          <w:tcPr>
            <w:tcW w:w="780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组员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男</w:t>
            </w:r>
          </w:p>
        </w:tc>
        <w:tc>
          <w:tcPr>
            <w:tcW w:w="1141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Q:审核员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O:专家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工程师</w:t>
            </w:r>
          </w:p>
        </w:tc>
        <w:tc>
          <w:tcPr>
            <w:tcW w:w="3402" w:type="dxa"/>
            <w:gridSpan w:val="4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Q:18.05.02,19.05.01,33.02.01,33.02.02,34.06.00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O:18.05.02,19.05.01,33.02.01,33.02.02,34.06.00</w:t>
            </w:r>
          </w:p>
        </w:tc>
        <w:tc>
          <w:tcPr>
            <w:tcW w:w="1559" w:type="dxa"/>
            <w:gridSpan w:val="4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15353547891</w:t>
            </w: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ISC[S]0278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395" w:type="dxa"/>
            <w:gridSpan w:val="2"/>
            <w:vAlign w:val="center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gridSpan w:val="2"/>
            <w:vAlign w:val="center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141" w:type="dxa"/>
            <w:gridSpan w:val="2"/>
            <w:vAlign w:val="center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3402" w:type="dxa"/>
            <w:gridSpan w:val="4"/>
            <w:vAlign w:val="center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229" w:type="dxa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0226" w:type="dxa"/>
            <w:gridSpan w:val="16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-577850</wp:posOffset>
                  </wp:positionH>
                  <wp:positionV relativeFrom="paragraph">
                    <wp:posOffset>-999490</wp:posOffset>
                  </wp:positionV>
                  <wp:extent cx="7479030" cy="10390505"/>
                  <wp:effectExtent l="0" t="0" r="1270" b="10795"/>
                  <wp:wrapNone/>
                  <wp:docPr id="3" name="图片 3" descr="扫描全能王 2021-03-31 17.32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扫描全能王 2021-03-31 17.32_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79030" cy="10390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/>
                <w:b/>
                <w:sz w:val="21"/>
                <w:szCs w:val="21"/>
              </w:rPr>
              <w:t>承诺: 在审核过程中接触的有关受审核方特定产品或机密信息，未经受审核方书面同意不得透露给第三方。当法律要求需要信息提供给第三方时，中心书面通知受审核方所要提供的信息。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201" w:type="dxa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审核组长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120650</wp:posOffset>
                  </wp:positionH>
                  <wp:positionV relativeFrom="paragraph">
                    <wp:posOffset>107315</wp:posOffset>
                  </wp:positionV>
                  <wp:extent cx="425450" cy="327025"/>
                  <wp:effectExtent l="0" t="0" r="6350" b="3175"/>
                  <wp:wrapNone/>
                  <wp:docPr id="2" name="图片 2" descr="签名-李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签名-李俐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450" cy="327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审核方案</w:t>
            </w:r>
          </w:p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管理人员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>
            <w:pPr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李永忠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受审核方</w:t>
            </w:r>
          </w:p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签字及公章</w:t>
            </w:r>
          </w:p>
        </w:tc>
        <w:tc>
          <w:tcPr>
            <w:tcW w:w="2504" w:type="dxa"/>
            <w:gridSpan w:val="4"/>
            <w:vMerge w:val="restart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  <w:jc w:val="center"/>
        </w:trPr>
        <w:tc>
          <w:tcPr>
            <w:tcW w:w="1201" w:type="dxa"/>
            <w:vAlign w:val="center"/>
          </w:tcPr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spacing w:line="360" w:lineRule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13709207775</w:t>
            </w:r>
          </w:p>
        </w:tc>
        <w:tc>
          <w:tcPr>
            <w:tcW w:w="1134" w:type="dxa"/>
            <w:gridSpan w:val="2"/>
            <w:vMerge w:val="continue"/>
            <w:vAlign w:val="center"/>
          </w:tcPr>
          <w:p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2126" w:type="dxa"/>
            <w:gridSpan w:val="2"/>
            <w:vMerge w:val="continue"/>
            <w:vAlign w:val="center"/>
          </w:tcPr>
          <w:p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418" w:type="dxa"/>
            <w:gridSpan w:val="2"/>
            <w:vMerge w:val="continue"/>
            <w:vAlign w:val="center"/>
          </w:tcPr>
          <w:p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2504" w:type="dxa"/>
            <w:gridSpan w:val="4"/>
            <w:vMerge w:val="continue"/>
            <w:vAlign w:val="center"/>
          </w:tcPr>
          <w:p>
            <w:pPr>
              <w:spacing w:line="360" w:lineRule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1201" w:type="dxa"/>
            <w:vAlign w:val="center"/>
          </w:tcPr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日期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spacing w:line="360" w:lineRule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2021.3.29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日期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2021.3.29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日期</w:t>
            </w:r>
          </w:p>
        </w:tc>
        <w:tc>
          <w:tcPr>
            <w:tcW w:w="2504" w:type="dxa"/>
            <w:gridSpan w:val="4"/>
            <w:vAlign w:val="center"/>
          </w:tcPr>
          <w:p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2021.3.29</w:t>
            </w:r>
          </w:p>
        </w:tc>
      </w:tr>
    </w:tbl>
    <w:p>
      <w:pPr>
        <w:widowControl/>
        <w:jc w:val="left"/>
      </w:pPr>
    </w:p>
    <w:p>
      <w:pPr>
        <w:snapToGrid w:val="0"/>
        <w:spacing w:before="163" w:beforeLines="50" w:line="320" w:lineRule="exact"/>
        <w:ind w:firstLine="4000" w:firstLineChars="1250"/>
        <w:rPr>
          <w:rFonts w:asciiTheme="minorEastAsia" w:hAnsiTheme="minorEastAsia" w:eastAsiaTheme="minorEastAsia"/>
          <w:sz w:val="32"/>
          <w:szCs w:val="32"/>
        </w:rPr>
      </w:pPr>
    </w:p>
    <w:p>
      <w:pPr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br w:type="page"/>
      </w:r>
      <w:bookmarkStart w:id="14" w:name="_GoBack"/>
      <w:bookmarkEnd w:id="14"/>
    </w:p>
    <w:p>
      <w:pPr>
        <w:snapToGrid w:val="0"/>
        <w:spacing w:before="163" w:beforeLines="50" w:line="320" w:lineRule="exact"/>
        <w:ind w:firstLine="4000" w:firstLineChars="1250"/>
        <w:rPr>
          <w:rFonts w:eastAsia="隶书"/>
          <w:sz w:val="30"/>
          <w:szCs w:val="30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一阶段现场审核计划</w:t>
      </w:r>
    </w:p>
    <w:tbl>
      <w:tblPr>
        <w:tblStyle w:val="5"/>
        <w:tblW w:w="99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683"/>
        <w:gridCol w:w="6551"/>
        <w:gridCol w:w="10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9972" w:type="dxa"/>
            <w:gridSpan w:val="4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审核日程安排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  <w:jc w:val="center"/>
        </w:trPr>
        <w:tc>
          <w:tcPr>
            <w:tcW w:w="716" w:type="dxa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日期</w:t>
            </w:r>
          </w:p>
        </w:tc>
        <w:tc>
          <w:tcPr>
            <w:tcW w:w="1683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时间</w:t>
            </w:r>
          </w:p>
        </w:tc>
        <w:tc>
          <w:tcPr>
            <w:tcW w:w="6551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受审核部门、场所及审核内容</w:t>
            </w:r>
          </w:p>
        </w:tc>
        <w:tc>
          <w:tcPr>
            <w:tcW w:w="1022" w:type="dxa"/>
            <w:tcBorders>
              <w:right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审核人员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jc w:val="center"/>
        </w:trPr>
        <w:tc>
          <w:tcPr>
            <w:tcW w:w="716" w:type="dxa"/>
            <w:vMerge w:val="restart"/>
            <w:tcBorders>
              <w:left w:val="single" w:color="auto" w:sz="8" w:space="0"/>
            </w:tcBorders>
            <w:vAlign w:val="top"/>
          </w:tcPr>
          <w:p>
            <w:pPr>
              <w:snapToGrid w:val="0"/>
              <w:spacing w:line="240" w:lineRule="auto"/>
              <w:jc w:val="both"/>
              <w:rPr>
                <w:rFonts w:hint="eastAsia"/>
                <w:b/>
                <w:sz w:val="21"/>
                <w:szCs w:val="21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both"/>
              <w:rPr>
                <w:rFonts w:hint="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2021.3.29</w:t>
            </w:r>
          </w:p>
          <w:p>
            <w:pPr>
              <w:snapToGrid w:val="0"/>
              <w:spacing w:line="240" w:lineRule="auto"/>
              <w:jc w:val="both"/>
              <w:rPr>
                <w:rFonts w:hint="eastAsia"/>
                <w:b/>
                <w:sz w:val="21"/>
                <w:szCs w:val="21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both"/>
              <w:rPr>
                <w:rFonts w:hint="eastAsia"/>
                <w:b/>
                <w:sz w:val="21"/>
                <w:szCs w:val="21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both"/>
              <w:rPr>
                <w:rFonts w:hint="eastAsia"/>
                <w:b/>
                <w:sz w:val="21"/>
                <w:szCs w:val="21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both"/>
              <w:rPr>
                <w:rFonts w:hint="eastAsia"/>
                <w:b/>
                <w:sz w:val="21"/>
                <w:szCs w:val="21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both"/>
              <w:rPr>
                <w:rFonts w:hint="eastAsia"/>
                <w:b/>
                <w:sz w:val="21"/>
                <w:szCs w:val="21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both"/>
              <w:rPr>
                <w:rFonts w:hint="eastAsia"/>
                <w:b/>
                <w:sz w:val="21"/>
                <w:szCs w:val="21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both"/>
              <w:rPr>
                <w:rFonts w:hint="eastAsia"/>
                <w:b/>
                <w:sz w:val="21"/>
                <w:szCs w:val="21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both"/>
              <w:rPr>
                <w:rFonts w:hint="eastAsia"/>
                <w:b/>
                <w:sz w:val="21"/>
                <w:szCs w:val="21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both"/>
              <w:rPr>
                <w:rFonts w:hint="eastAsia"/>
                <w:b/>
                <w:sz w:val="21"/>
                <w:szCs w:val="21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both"/>
              <w:rPr>
                <w:rFonts w:hint="eastAsia"/>
                <w:b/>
                <w:sz w:val="21"/>
                <w:szCs w:val="21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both"/>
              <w:rPr>
                <w:rFonts w:hint="eastAsia"/>
                <w:b/>
                <w:sz w:val="21"/>
                <w:szCs w:val="21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both"/>
              <w:rPr>
                <w:rFonts w:hint="eastAsia"/>
                <w:b/>
                <w:sz w:val="21"/>
                <w:szCs w:val="21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both"/>
              <w:rPr>
                <w:rFonts w:hint="default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2021.3.30</w:t>
            </w:r>
          </w:p>
          <w:p>
            <w:pPr>
              <w:snapToGrid w:val="0"/>
              <w:spacing w:line="240" w:lineRule="auto"/>
              <w:jc w:val="both"/>
              <w:rPr>
                <w:rFonts w:hint="eastAsia"/>
                <w:b/>
                <w:sz w:val="21"/>
                <w:szCs w:val="21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both"/>
              <w:rPr>
                <w:rFonts w:hint="default"/>
                <w:b/>
                <w:sz w:val="21"/>
                <w:szCs w:val="21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both"/>
              <w:rPr>
                <w:b/>
                <w:sz w:val="20"/>
              </w:rPr>
            </w:pPr>
          </w:p>
          <w:p>
            <w:pPr>
              <w:snapToGrid w:val="0"/>
              <w:spacing w:line="240" w:lineRule="auto"/>
              <w:jc w:val="both"/>
              <w:rPr>
                <w:b/>
                <w:sz w:val="20"/>
              </w:rPr>
            </w:pPr>
          </w:p>
          <w:p>
            <w:pPr>
              <w:snapToGrid w:val="0"/>
              <w:spacing w:line="240" w:lineRule="auto"/>
              <w:jc w:val="both"/>
              <w:rPr>
                <w:b/>
                <w:sz w:val="20"/>
              </w:rPr>
            </w:pPr>
          </w:p>
          <w:p>
            <w:pPr>
              <w:snapToGrid w:val="0"/>
              <w:spacing w:line="240" w:lineRule="auto"/>
              <w:jc w:val="both"/>
              <w:rPr>
                <w:b/>
                <w:sz w:val="20"/>
              </w:rPr>
            </w:pPr>
          </w:p>
          <w:p>
            <w:pPr>
              <w:snapToGrid w:val="0"/>
              <w:spacing w:line="240" w:lineRule="auto"/>
              <w:jc w:val="both"/>
              <w:rPr>
                <w:b/>
                <w:sz w:val="20"/>
              </w:rPr>
            </w:pPr>
          </w:p>
          <w:p>
            <w:pPr>
              <w:snapToGrid w:val="0"/>
              <w:spacing w:line="240" w:lineRule="auto"/>
              <w:jc w:val="both"/>
              <w:rPr>
                <w:b/>
                <w:sz w:val="20"/>
              </w:rPr>
            </w:pPr>
          </w:p>
          <w:p>
            <w:pPr>
              <w:snapToGrid w:val="0"/>
              <w:spacing w:line="240" w:lineRule="auto"/>
              <w:jc w:val="both"/>
              <w:rPr>
                <w:b/>
                <w:sz w:val="20"/>
              </w:rPr>
            </w:pPr>
          </w:p>
          <w:p>
            <w:pPr>
              <w:snapToGrid w:val="0"/>
              <w:spacing w:line="240" w:lineRule="auto"/>
              <w:jc w:val="both"/>
              <w:rPr>
                <w:b/>
                <w:sz w:val="20"/>
              </w:rPr>
            </w:pPr>
          </w:p>
          <w:p>
            <w:pPr>
              <w:snapToGrid w:val="0"/>
              <w:spacing w:line="240" w:lineRule="auto"/>
              <w:jc w:val="both"/>
              <w:rPr>
                <w:rFonts w:hint="eastAsia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1683" w:type="dxa"/>
            <w:vAlign w:val="center"/>
          </w:tcPr>
          <w:p>
            <w:pPr>
              <w:snapToGrid w:val="0"/>
              <w:spacing w:line="240" w:lineRule="auto"/>
              <w:jc w:val="left"/>
              <w:rPr>
                <w:b/>
                <w:sz w:val="20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2"/>
                <w:lang w:val="en-US" w:eastAsia="zh-CN"/>
              </w:rPr>
              <w:t>13</w:t>
            </w:r>
            <w:r>
              <w:rPr>
                <w:rFonts w:hint="eastAsia"/>
                <w:b/>
                <w:sz w:val="20"/>
                <w:szCs w:val="22"/>
              </w:rPr>
              <w:t>:</w:t>
            </w:r>
            <w:r>
              <w:rPr>
                <w:rFonts w:hint="eastAsia"/>
                <w:b/>
                <w:sz w:val="20"/>
                <w:szCs w:val="22"/>
                <w:lang w:val="en-US" w:eastAsia="zh-CN"/>
              </w:rPr>
              <w:t>3</w:t>
            </w:r>
            <w:r>
              <w:rPr>
                <w:rFonts w:hint="eastAsia"/>
                <w:b/>
                <w:sz w:val="20"/>
                <w:szCs w:val="22"/>
              </w:rPr>
              <w:t>0-</w:t>
            </w:r>
            <w:r>
              <w:rPr>
                <w:rFonts w:hint="eastAsia"/>
                <w:b/>
                <w:sz w:val="20"/>
                <w:szCs w:val="22"/>
                <w:lang w:val="en-US" w:eastAsia="zh-CN"/>
              </w:rPr>
              <w:t>14</w:t>
            </w:r>
            <w:r>
              <w:rPr>
                <w:rFonts w:hint="eastAsia"/>
                <w:b/>
                <w:sz w:val="20"/>
                <w:szCs w:val="22"/>
              </w:rPr>
              <w:t>:</w:t>
            </w:r>
            <w:r>
              <w:rPr>
                <w:rFonts w:hint="eastAsia"/>
                <w:b/>
                <w:sz w:val="20"/>
                <w:szCs w:val="22"/>
                <w:lang w:val="en-US" w:eastAsia="zh-CN"/>
              </w:rPr>
              <w:t>0</w:t>
            </w:r>
            <w:r>
              <w:rPr>
                <w:rFonts w:hint="eastAsia"/>
                <w:b/>
                <w:sz w:val="20"/>
                <w:szCs w:val="22"/>
              </w:rPr>
              <w:t>0</w:t>
            </w:r>
          </w:p>
        </w:tc>
        <w:tc>
          <w:tcPr>
            <w:tcW w:w="6551" w:type="dxa"/>
            <w:vAlign w:val="center"/>
          </w:tcPr>
          <w:p>
            <w:pPr>
              <w:adjustRightInd w:val="0"/>
              <w:snapToGrid w:val="0"/>
              <w:spacing w:line="240" w:lineRule="auto"/>
              <w:ind w:firstLine="1476" w:firstLineChars="700"/>
              <w:jc w:val="both"/>
              <w:rPr>
                <w:rFonts w:hint="eastAsia" w:ascii="宋体" w:hAnsi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首次会议</w:t>
            </w:r>
          </w:p>
        </w:tc>
        <w:tc>
          <w:tcPr>
            <w:tcW w:w="1022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AB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jc w:val="center"/>
        </w:trPr>
        <w:tc>
          <w:tcPr>
            <w:tcW w:w="716" w:type="dxa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40" w:lineRule="auto"/>
              <w:jc w:val="left"/>
              <w:rPr>
                <w:rFonts w:hint="eastAsia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1683" w:type="dxa"/>
            <w:vMerge w:val="restart"/>
            <w:vAlign w:val="top"/>
          </w:tcPr>
          <w:p>
            <w:pPr>
              <w:snapToGrid w:val="0"/>
              <w:spacing w:line="240" w:lineRule="auto"/>
              <w:jc w:val="both"/>
              <w:rPr>
                <w:rFonts w:hint="eastAsia"/>
                <w:b/>
                <w:sz w:val="20"/>
                <w:szCs w:val="22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both"/>
              <w:rPr>
                <w:rFonts w:hint="eastAsia"/>
                <w:b/>
                <w:sz w:val="20"/>
                <w:szCs w:val="22"/>
              </w:rPr>
            </w:pPr>
            <w:r>
              <w:rPr>
                <w:rFonts w:hint="eastAsia"/>
                <w:b/>
                <w:sz w:val="20"/>
                <w:szCs w:val="22"/>
                <w:lang w:val="en-US" w:eastAsia="zh-CN"/>
              </w:rPr>
              <w:t>14</w:t>
            </w:r>
            <w:r>
              <w:rPr>
                <w:rFonts w:hint="eastAsia"/>
                <w:b/>
                <w:sz w:val="20"/>
                <w:szCs w:val="22"/>
              </w:rPr>
              <w:t>:00-1</w:t>
            </w:r>
            <w:r>
              <w:rPr>
                <w:rFonts w:hint="eastAsia"/>
                <w:b/>
                <w:sz w:val="20"/>
                <w:szCs w:val="22"/>
                <w:lang w:val="en-US" w:eastAsia="zh-CN"/>
              </w:rPr>
              <w:t>7</w:t>
            </w:r>
            <w:r>
              <w:rPr>
                <w:rFonts w:hint="eastAsia"/>
                <w:b/>
                <w:sz w:val="20"/>
                <w:szCs w:val="22"/>
                <w:lang w:eastAsia="zh-CN"/>
              </w:rPr>
              <w:t>：</w:t>
            </w:r>
            <w:r>
              <w:rPr>
                <w:rFonts w:hint="eastAsia"/>
                <w:b/>
                <w:sz w:val="20"/>
                <w:szCs w:val="22"/>
                <w:lang w:val="en-US" w:eastAsia="zh-CN"/>
              </w:rPr>
              <w:t>3</w:t>
            </w:r>
            <w:r>
              <w:rPr>
                <w:rFonts w:hint="eastAsia"/>
                <w:b/>
                <w:sz w:val="20"/>
                <w:szCs w:val="22"/>
              </w:rPr>
              <w:t>0</w:t>
            </w:r>
          </w:p>
          <w:p>
            <w:pPr>
              <w:snapToGrid w:val="0"/>
              <w:spacing w:line="240" w:lineRule="auto"/>
              <w:jc w:val="both"/>
              <w:rPr>
                <w:rFonts w:hint="eastAsia"/>
                <w:b/>
                <w:sz w:val="20"/>
                <w:szCs w:val="22"/>
              </w:rPr>
            </w:pPr>
          </w:p>
          <w:p>
            <w:pPr>
              <w:snapToGrid w:val="0"/>
              <w:spacing w:line="240" w:lineRule="auto"/>
              <w:jc w:val="both"/>
              <w:rPr>
                <w:rFonts w:hint="eastAsia"/>
                <w:b/>
                <w:sz w:val="20"/>
                <w:szCs w:val="22"/>
              </w:rPr>
            </w:pPr>
          </w:p>
          <w:p>
            <w:pPr>
              <w:snapToGrid w:val="0"/>
              <w:spacing w:line="240" w:lineRule="auto"/>
              <w:jc w:val="both"/>
              <w:rPr>
                <w:rFonts w:hint="eastAsia"/>
                <w:b/>
                <w:sz w:val="20"/>
                <w:szCs w:val="22"/>
              </w:rPr>
            </w:pPr>
          </w:p>
          <w:p>
            <w:pPr>
              <w:snapToGrid w:val="0"/>
              <w:spacing w:line="240" w:lineRule="auto"/>
              <w:jc w:val="both"/>
              <w:rPr>
                <w:rFonts w:hint="eastAsia"/>
                <w:b/>
                <w:sz w:val="20"/>
                <w:szCs w:val="22"/>
              </w:rPr>
            </w:pPr>
          </w:p>
          <w:p>
            <w:pPr>
              <w:snapToGrid w:val="0"/>
              <w:spacing w:line="240" w:lineRule="auto"/>
              <w:jc w:val="both"/>
              <w:rPr>
                <w:rFonts w:hint="eastAsia"/>
                <w:b/>
                <w:sz w:val="20"/>
                <w:szCs w:val="22"/>
              </w:rPr>
            </w:pPr>
          </w:p>
          <w:p>
            <w:pPr>
              <w:snapToGrid w:val="0"/>
              <w:spacing w:line="240" w:lineRule="auto"/>
              <w:jc w:val="both"/>
              <w:rPr>
                <w:rFonts w:hint="eastAsia"/>
                <w:b/>
                <w:sz w:val="20"/>
                <w:szCs w:val="22"/>
              </w:rPr>
            </w:pPr>
          </w:p>
          <w:p>
            <w:pPr>
              <w:snapToGrid w:val="0"/>
              <w:spacing w:line="240" w:lineRule="auto"/>
              <w:jc w:val="both"/>
              <w:rPr>
                <w:rFonts w:hint="eastAsia"/>
                <w:b/>
                <w:sz w:val="20"/>
                <w:szCs w:val="22"/>
              </w:rPr>
            </w:pPr>
          </w:p>
          <w:p>
            <w:pPr>
              <w:snapToGrid w:val="0"/>
              <w:spacing w:line="240" w:lineRule="auto"/>
              <w:jc w:val="both"/>
              <w:rPr>
                <w:rFonts w:hint="eastAsia"/>
                <w:b/>
                <w:sz w:val="20"/>
                <w:szCs w:val="22"/>
              </w:rPr>
            </w:pPr>
          </w:p>
          <w:p>
            <w:pPr>
              <w:snapToGrid w:val="0"/>
              <w:spacing w:line="240" w:lineRule="auto"/>
              <w:jc w:val="both"/>
              <w:rPr>
                <w:rFonts w:hint="eastAsia"/>
                <w:b/>
                <w:sz w:val="20"/>
                <w:szCs w:val="22"/>
              </w:rPr>
            </w:pPr>
          </w:p>
          <w:p>
            <w:pPr>
              <w:snapToGrid w:val="0"/>
              <w:spacing w:line="240" w:lineRule="auto"/>
              <w:jc w:val="both"/>
              <w:rPr>
                <w:rFonts w:hint="eastAsia"/>
                <w:b/>
                <w:sz w:val="20"/>
                <w:szCs w:val="22"/>
              </w:rPr>
            </w:pPr>
          </w:p>
          <w:p>
            <w:pPr>
              <w:snapToGrid w:val="0"/>
              <w:spacing w:line="240" w:lineRule="auto"/>
              <w:jc w:val="both"/>
              <w:rPr>
                <w:rFonts w:hint="eastAsia"/>
                <w:b/>
                <w:sz w:val="20"/>
                <w:szCs w:val="22"/>
              </w:rPr>
            </w:pPr>
          </w:p>
          <w:p>
            <w:pPr>
              <w:snapToGrid w:val="0"/>
              <w:spacing w:line="240" w:lineRule="auto"/>
              <w:jc w:val="both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  <w:lang w:val="en-US" w:eastAsia="zh-CN"/>
              </w:rPr>
              <w:t>8</w:t>
            </w:r>
            <w:r>
              <w:rPr>
                <w:b/>
                <w:sz w:val="20"/>
              </w:rPr>
              <w:t>:</w:t>
            </w:r>
            <w:r>
              <w:rPr>
                <w:rFonts w:hint="eastAsia"/>
                <w:b/>
                <w:sz w:val="20"/>
                <w:lang w:val="en-US" w:eastAsia="zh-CN"/>
              </w:rPr>
              <w:t>0</w:t>
            </w:r>
            <w:r>
              <w:rPr>
                <w:b/>
                <w:sz w:val="20"/>
              </w:rPr>
              <w:t>0-12.00</w:t>
            </w:r>
          </w:p>
          <w:p>
            <w:pPr>
              <w:snapToGrid w:val="0"/>
              <w:spacing w:line="240" w:lineRule="auto"/>
              <w:jc w:val="both"/>
              <w:rPr>
                <w:b/>
                <w:sz w:val="20"/>
              </w:rPr>
            </w:pPr>
          </w:p>
          <w:p>
            <w:pPr>
              <w:snapToGrid w:val="0"/>
              <w:spacing w:line="240" w:lineRule="auto"/>
              <w:jc w:val="both"/>
              <w:rPr>
                <w:b/>
                <w:sz w:val="20"/>
              </w:rPr>
            </w:pPr>
          </w:p>
          <w:p>
            <w:pPr>
              <w:snapToGrid w:val="0"/>
              <w:spacing w:line="240" w:lineRule="auto"/>
              <w:jc w:val="both"/>
              <w:rPr>
                <w:b/>
                <w:sz w:val="20"/>
              </w:rPr>
            </w:pPr>
          </w:p>
          <w:p>
            <w:pPr>
              <w:snapToGrid w:val="0"/>
              <w:spacing w:line="240" w:lineRule="auto"/>
              <w:jc w:val="both"/>
              <w:rPr>
                <w:b/>
                <w:sz w:val="20"/>
              </w:rPr>
            </w:pPr>
          </w:p>
          <w:p>
            <w:pPr>
              <w:snapToGrid w:val="0"/>
              <w:spacing w:line="240" w:lineRule="auto"/>
              <w:jc w:val="both"/>
              <w:rPr>
                <w:b/>
                <w:sz w:val="20"/>
              </w:rPr>
            </w:pPr>
          </w:p>
          <w:p>
            <w:pPr>
              <w:snapToGrid w:val="0"/>
              <w:spacing w:line="240" w:lineRule="auto"/>
              <w:jc w:val="both"/>
              <w:rPr>
                <w:b/>
                <w:sz w:val="20"/>
              </w:rPr>
            </w:pPr>
          </w:p>
          <w:p>
            <w:pPr>
              <w:snapToGrid w:val="0"/>
              <w:spacing w:line="240" w:lineRule="auto"/>
              <w:jc w:val="both"/>
              <w:rPr>
                <w:b/>
                <w:sz w:val="20"/>
              </w:rPr>
            </w:pPr>
          </w:p>
          <w:p>
            <w:pPr>
              <w:snapToGrid w:val="0"/>
              <w:spacing w:line="240" w:lineRule="auto"/>
              <w:jc w:val="both"/>
              <w:rPr>
                <w:b/>
                <w:sz w:val="20"/>
              </w:rPr>
            </w:pPr>
          </w:p>
          <w:p>
            <w:pPr>
              <w:snapToGrid w:val="0"/>
              <w:spacing w:line="240" w:lineRule="auto"/>
              <w:jc w:val="both"/>
              <w:rPr>
                <w:b/>
                <w:sz w:val="20"/>
              </w:rPr>
            </w:pPr>
          </w:p>
          <w:p>
            <w:pPr>
              <w:spacing w:line="240" w:lineRule="auto"/>
              <w:jc w:val="both"/>
              <w:rPr>
                <w:rFonts w:hint="eastAsia" w:ascii="宋体" w:hAnsi="宋体" w:cstheme="minorEastAsia"/>
                <w:color w:val="auto"/>
                <w:sz w:val="21"/>
                <w:szCs w:val="21"/>
              </w:rPr>
            </w:pPr>
          </w:p>
          <w:p>
            <w:pPr>
              <w:spacing w:line="240" w:lineRule="auto"/>
              <w:jc w:val="both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51" w:type="dxa"/>
            <w:vAlign w:val="center"/>
          </w:tcPr>
          <w:p>
            <w:pPr>
              <w:spacing w:line="240" w:lineRule="auto"/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现场经营地：重点是与质量、职业健康安全活动有关的场所及公司周边环境进行观察。</w:t>
            </w:r>
          </w:p>
        </w:tc>
        <w:tc>
          <w:tcPr>
            <w:tcW w:w="1022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AB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jc w:val="center"/>
        </w:trPr>
        <w:tc>
          <w:tcPr>
            <w:tcW w:w="716" w:type="dxa"/>
            <w:vMerge w:val="continue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40" w:lineRule="auto"/>
              <w:jc w:val="left"/>
              <w:rPr>
                <w:rFonts w:hint="eastAsia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51" w:type="dxa"/>
            <w:vAlign w:val="center"/>
          </w:tcPr>
          <w:p>
            <w:pPr>
              <w:spacing w:line="240" w:lineRule="auto"/>
              <w:rPr>
                <w:rFonts w:hint="eastAsia" w:ascii="宋体" w:hAnsi="宋体" w:cs="Times New Roman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审</w:t>
            </w:r>
            <w:r>
              <w:rPr>
                <w:rFonts w:hint="eastAsia" w:ascii="宋体" w:hAnsi="宋体" w:cs="Times New Roman"/>
                <w:sz w:val="21"/>
                <w:szCs w:val="21"/>
              </w:rPr>
              <w:t>核</w:t>
            </w: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宋体" w:hAnsi="宋体" w:cs="Times New Roman"/>
                <w:sz w:val="21"/>
                <w:szCs w:val="21"/>
              </w:rPr>
              <w:t>管理层</w:t>
            </w:r>
            <w:r>
              <w:rPr>
                <w:rFonts w:hint="eastAsia" w:ascii="宋体" w:hAnsi="宋体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A</w:t>
            </w:r>
            <w:r>
              <w:rPr>
                <w:rFonts w:hint="eastAsia" w:ascii="宋体" w:hAnsi="宋体" w:cs="Times New Roman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Times New Roman"/>
                <w:sz w:val="21"/>
                <w:szCs w:val="21"/>
              </w:rPr>
              <w:t>、</w:t>
            </w: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综合管理部</w:t>
            </w:r>
            <w:r>
              <w:rPr>
                <w:rFonts w:hint="eastAsia" w:ascii="宋体" w:hAnsi="宋体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B</w:t>
            </w:r>
            <w:r>
              <w:rPr>
                <w:rFonts w:hint="eastAsia" w:ascii="宋体" w:hAnsi="宋体" w:cs="Times New Roman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Times New Roman"/>
                <w:sz w:val="21"/>
                <w:szCs w:val="21"/>
              </w:rPr>
              <w:t>、</w:t>
            </w: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生产技术</w:t>
            </w:r>
            <w:r>
              <w:rPr>
                <w:rFonts w:hint="eastAsia" w:ascii="宋体" w:hAnsi="宋体" w:cs="Times New Roman"/>
                <w:sz w:val="21"/>
                <w:szCs w:val="21"/>
              </w:rPr>
              <w:t>部</w:t>
            </w: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(A)</w:t>
            </w:r>
            <w:r>
              <w:rPr>
                <w:rFonts w:hint="eastAsia" w:ascii="宋体" w:hAnsi="宋体" w:cs="Times New Roman"/>
                <w:sz w:val="21"/>
                <w:szCs w:val="21"/>
              </w:rPr>
              <w:t>：</w:t>
            </w:r>
          </w:p>
          <w:p>
            <w:pPr>
              <w:spacing w:line="240" w:lineRule="auto"/>
              <w:rPr>
                <w:rFonts w:hint="eastAsia" w:ascii="宋体" w:hAnsi="宋体" w:cs="Times New Roman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sz w:val="21"/>
                <w:szCs w:val="21"/>
              </w:rPr>
              <w:t>了解受审核方基本概况，资质、法人、总经理及部门设置、主管部门。</w:t>
            </w:r>
          </w:p>
          <w:p>
            <w:pPr>
              <w:spacing w:line="240" w:lineRule="auto"/>
              <w:rPr>
                <w:rFonts w:hint="eastAsia" w:ascii="宋体" w:hAnsi="宋体" w:cs="Times New Roman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sz w:val="21"/>
                <w:szCs w:val="21"/>
              </w:rPr>
              <w:t>了解受审核方管理体系策划情况。</w:t>
            </w:r>
          </w:p>
          <w:p>
            <w:pPr>
              <w:spacing w:line="240" w:lineRule="auto"/>
              <w:rPr>
                <w:rFonts w:hint="eastAsia" w:ascii="宋体" w:hAnsi="宋体" w:cs="Times New Roman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sz w:val="21"/>
                <w:szCs w:val="21"/>
              </w:rPr>
              <w:t>确定认证范围和经营场所</w:t>
            </w:r>
          </w:p>
          <w:p>
            <w:pPr>
              <w:spacing w:line="240" w:lineRule="auto"/>
              <w:rPr>
                <w:rFonts w:hint="eastAsia" w:ascii="宋体" w:hAnsi="宋体" w:cs="Times New Roman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sz w:val="21"/>
                <w:szCs w:val="21"/>
              </w:rPr>
              <w:t>了解受审核方理解和实施标准要求的情况，特别是对管理体系的关键绩效、过程、目标和运作的识别情况；</w:t>
            </w:r>
          </w:p>
          <w:p>
            <w:pPr>
              <w:spacing w:line="240" w:lineRule="auto"/>
              <w:rPr>
                <w:rFonts w:hint="eastAsia" w:ascii="宋体" w:hAnsi="宋体" w:cs="Times New Roman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sz w:val="21"/>
                <w:szCs w:val="21"/>
              </w:rPr>
              <w:t>了解受审核方文件、外来文件和职业健康安全适用法律法规及其他要求控制情况；</w:t>
            </w:r>
          </w:p>
          <w:p>
            <w:pPr>
              <w:spacing w:line="240" w:lineRule="auto"/>
              <w:rPr>
                <w:rFonts w:hint="eastAsia" w:ascii="宋体" w:hAnsi="宋体" w:cs="Times New Roman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sz w:val="21"/>
                <w:szCs w:val="21"/>
              </w:rPr>
              <w:t>了解受审核方是否策划和实施了内部审核；</w:t>
            </w:r>
          </w:p>
          <w:p>
            <w:pPr>
              <w:spacing w:line="240" w:lineRule="auto"/>
              <w:rPr>
                <w:rFonts w:hint="eastAsia" w:ascii="宋体" w:hAnsi="宋体" w:cs="Times New Roman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sz w:val="21"/>
                <w:szCs w:val="21"/>
              </w:rPr>
              <w:t>了解管理评审控制情况；</w:t>
            </w:r>
          </w:p>
          <w:p>
            <w:pPr>
              <w:spacing w:line="240" w:lineRule="auto"/>
              <w:rPr>
                <w:rFonts w:hint="eastAsia" w:ascii="宋体" w:hAnsi="宋体" w:cs="Times New Roman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sz w:val="21"/>
                <w:szCs w:val="21"/>
              </w:rPr>
              <w:t>了解财务资金投入情况等。</w:t>
            </w:r>
          </w:p>
          <w:p>
            <w:pPr>
              <w:spacing w:line="240" w:lineRule="auto"/>
              <w:rPr>
                <w:rFonts w:hint="eastAsia" w:ascii="宋体" w:hAnsi="宋体" w:cs="Times New Roman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sz w:val="21"/>
                <w:szCs w:val="21"/>
              </w:rPr>
              <w:t>了解审核方对产品实现过程的策划、实施和监视测量情况，工程施工中的关键过程和需确认过程的识别和控制状况；</w:t>
            </w:r>
          </w:p>
          <w:p>
            <w:pPr>
              <w:spacing w:line="240" w:lineRule="auto"/>
              <w:rPr>
                <w:rFonts w:hint="eastAsia" w:ascii="宋体" w:hAnsi="宋体" w:cs="Times New Roman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sz w:val="21"/>
                <w:szCs w:val="21"/>
              </w:rPr>
              <w:t>识别过程所形成的文件和记录的适宜性和充分性；</w:t>
            </w:r>
          </w:p>
          <w:p>
            <w:pPr>
              <w:spacing w:line="240" w:lineRule="auto"/>
              <w:rPr>
                <w:rFonts w:hint="eastAsia" w:ascii="宋体" w:hAnsi="宋体" w:cs="Times New Roman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sz w:val="21"/>
                <w:szCs w:val="21"/>
              </w:rPr>
              <w:t>监视与测量资源和工作环境对产品质量的保障情况: 监视与测量资源日常管控受控情况等。</w:t>
            </w:r>
          </w:p>
          <w:p>
            <w:pPr>
              <w:spacing w:line="240" w:lineRule="auto"/>
              <w:rPr>
                <w:rFonts w:hint="eastAsia" w:ascii="宋体" w:hAnsi="宋体" w:cs="Times New Roman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sz w:val="21"/>
                <w:szCs w:val="21"/>
              </w:rPr>
              <w:t>了解受审核方采购、销售的实施控制情况；</w:t>
            </w:r>
          </w:p>
          <w:p>
            <w:pPr>
              <w:spacing w:line="240" w:lineRule="auto"/>
              <w:rPr>
                <w:rFonts w:hint="eastAsia" w:ascii="宋体" w:hAnsi="宋体" w:cs="Times New Roman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sz w:val="21"/>
                <w:szCs w:val="21"/>
              </w:rPr>
              <w:t>了解受审核方生产过程、销售过程、采购过程、办公过程危险源识别、重大危险源控制措施策划，合规性评价；职业健康安全管理体系运作的情况；</w:t>
            </w:r>
          </w:p>
          <w:p>
            <w:pPr>
              <w:spacing w:line="240" w:lineRule="auto"/>
              <w:rPr>
                <w:rFonts w:hint="eastAsia" w:ascii="宋体" w:hAnsi="宋体" w:cs="Times New Roman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sz w:val="21"/>
                <w:szCs w:val="21"/>
              </w:rPr>
              <w:t>必要时检查安全评价、消防验收等情况.</w:t>
            </w:r>
          </w:p>
          <w:p>
            <w:pPr>
              <w:spacing w:line="240" w:lineRule="auto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sz w:val="21"/>
                <w:szCs w:val="21"/>
              </w:rPr>
              <w:t>商定第二阶段审核的时间、细节等受审核方是否策划和实施了管理</w:t>
            </w:r>
            <w:r>
              <w:rPr>
                <w:rFonts w:hint="eastAsia" w:ascii="宋体" w:hAnsi="宋体" w:cs="宋体"/>
                <w:sz w:val="18"/>
                <w:szCs w:val="18"/>
              </w:rPr>
              <w:t>。</w:t>
            </w:r>
          </w:p>
        </w:tc>
        <w:tc>
          <w:tcPr>
            <w:tcW w:w="1022" w:type="dxa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AB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16" w:type="dxa"/>
            <w:vMerge w:val="continue"/>
            <w:tcBorders>
              <w:left w:val="single" w:color="auto" w:sz="8" w:space="0"/>
            </w:tcBorders>
            <w:vAlign w:val="top"/>
          </w:tcPr>
          <w:p>
            <w:pPr>
              <w:snapToGrid w:val="0"/>
              <w:spacing w:line="280" w:lineRule="exact"/>
              <w:jc w:val="left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jc w:val="both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551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both"/>
              <w:rPr>
                <w:rFonts w:ascii="Times New Roman" w:hAnsi="Times New Roman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末次会议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AB</w:t>
            </w:r>
          </w:p>
        </w:tc>
      </w:tr>
    </w:tbl>
    <w:p>
      <w:pPr>
        <w:spacing w:line="300" w:lineRule="exact"/>
        <w:ind w:firstLine="4156" w:firstLineChars="2300"/>
        <w:rPr>
          <w:b/>
          <w:color w:val="000000"/>
          <w:sz w:val="18"/>
          <w:szCs w:val="18"/>
        </w:rPr>
      </w:pPr>
    </w:p>
    <w:p>
      <w:pPr>
        <w:tabs>
          <w:tab w:val="left" w:pos="432"/>
        </w:tabs>
        <w:spacing w:line="360" w:lineRule="auto"/>
        <w:ind w:left="432"/>
        <w:textAlignment w:val="center"/>
        <w:rPr>
          <w:b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注:</w:t>
      </w:r>
      <w:r>
        <w:rPr>
          <w:rFonts w:hint="eastAsia"/>
          <w:sz w:val="21"/>
          <w:szCs w:val="21"/>
        </w:rPr>
        <w:t>1、</w:t>
      </w:r>
      <w:r>
        <w:rPr>
          <w:rFonts w:hint="eastAsia"/>
          <w:b/>
          <w:sz w:val="21"/>
          <w:szCs w:val="21"/>
        </w:rPr>
        <w:t>一阶段要在现场核实以下内容并填写“申请评审信息（初审/再认证）现场确认表”：</w:t>
      </w:r>
    </w:p>
    <w:p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>1）营业执照或相关证件副本原件；</w:t>
      </w:r>
    </w:p>
    <w:p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>2）生产（安全）许可证、行业许可证、3C证书原件；</w:t>
      </w:r>
    </w:p>
    <w:p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>3）计量器具的检定证书原件、特种设备备案登记号及鉴定证书原件；产品标准的版本、企标的备案号（适用时）；</w:t>
      </w:r>
    </w:p>
    <w:p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>4）型式试验报告；</w:t>
      </w:r>
    </w:p>
    <w:p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 xml:space="preserve">5）地理位置图、污水管网图； </w:t>
      </w:r>
    </w:p>
    <w:p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>6）生产工艺流程示意图（建设单位还需提供在建项目清单）</w:t>
      </w:r>
    </w:p>
    <w:p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>7）环境影响评价报告及批复、“三同时”验收报告；</w:t>
      </w:r>
    </w:p>
    <w:p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>8）安全、卫生评价报告及批复、“三同时”验收报告；</w:t>
      </w:r>
    </w:p>
    <w:p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>9）消防验收报告；</w:t>
      </w:r>
    </w:p>
    <w:p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>10）由法定资格的环境监测部门对各项污染物的监测数据；</w:t>
      </w:r>
    </w:p>
    <w:p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>11）由法定资格的劳动、卫生监测部门对组织特种设备、生产车间内有害物质的监测数据；</w:t>
      </w:r>
    </w:p>
    <w:p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>12）排污许可证、排污申报登记注册注明、总量控制指标；</w:t>
      </w:r>
    </w:p>
    <w:p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>13）主要资源、能源使用、消耗清单、危险化学品清单。</w:t>
      </w:r>
    </w:p>
    <w:p>
      <w:pPr>
        <w:snapToGrid w:val="0"/>
        <w:spacing w:line="360" w:lineRule="auto"/>
        <w:ind w:left="843" w:hanging="843" w:hangingChars="400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2、请在选中的“□”内打“×”。</w:t>
      </w:r>
    </w:p>
    <w:p>
      <w:pPr>
        <w:spacing w:line="360" w:lineRule="auto"/>
        <w:ind w:firstLine="422" w:firstLineChars="200"/>
        <w:jc w:val="lef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3、如工作语言、审核报告语言不是中文，应在审核计划中说明语言种类；</w:t>
      </w:r>
    </w:p>
    <w:p>
      <w:pPr>
        <w:spacing w:line="360" w:lineRule="auto"/>
        <w:ind w:firstLine="422" w:firstLineChars="200"/>
        <w:jc w:val="lef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4、主要审核内容</w:t>
      </w:r>
    </w:p>
    <w:p>
      <w:pPr>
        <w:pStyle w:val="7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 xml:space="preserve">方针的制定与贯彻情况 </w:t>
      </w:r>
    </w:p>
    <w:p>
      <w:pPr>
        <w:pStyle w:val="7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 xml:space="preserve">环境因素的识别和评价程序合理性 </w:t>
      </w:r>
    </w:p>
    <w:p>
      <w:pPr>
        <w:pStyle w:val="7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 xml:space="preserve">危险源的辨识和评价程序合理性 </w:t>
      </w:r>
    </w:p>
    <w:p>
      <w:pPr>
        <w:pStyle w:val="7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 xml:space="preserve">体系覆盖产品及产品生产关键过程、特殊过程的识别和确认情况 </w:t>
      </w:r>
    </w:p>
    <w:p>
      <w:pPr>
        <w:pStyle w:val="7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 xml:space="preserve">质量管理体系删减条款的合理性 </w:t>
      </w:r>
    </w:p>
    <w:p>
      <w:pPr>
        <w:pStyle w:val="7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 xml:space="preserve">适用的法律和其他要求的获取、识别程序实施情况 </w:t>
      </w:r>
    </w:p>
    <w:p>
      <w:pPr>
        <w:pStyle w:val="7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 xml:space="preserve">组织的目标、指标和管理方案合理性及实施情况 </w:t>
      </w:r>
    </w:p>
    <w:p>
      <w:pPr>
        <w:pStyle w:val="7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 xml:space="preserve">组织法律法规的遵循情况  </w:t>
      </w:r>
    </w:p>
    <w:p>
      <w:pPr>
        <w:pStyle w:val="7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 xml:space="preserve">内审和管理评审的实施情况 </w:t>
      </w:r>
    </w:p>
    <w:p>
      <w:pPr>
        <w:pStyle w:val="7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 xml:space="preserve">管理体系文件审核 </w:t>
      </w:r>
    </w:p>
    <w:p>
      <w:pPr>
        <w:pStyle w:val="7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hAnsi="华文细黑" w:eastAsia="华文细黑"/>
          <w:b/>
          <w:sz w:val="21"/>
          <w:szCs w:val="21"/>
        </w:rPr>
      </w:pPr>
      <w:r>
        <w:rPr>
          <w:rFonts w:hint="eastAsia" w:ascii="华文细黑" w:hAnsi="华文细黑" w:eastAsia="华文细黑"/>
          <w:b/>
          <w:sz w:val="21"/>
          <w:szCs w:val="21"/>
        </w:rPr>
        <w:t>识别二阶段审核的资源配置情况</w:t>
      </w:r>
    </w:p>
    <w:p>
      <w:pPr>
        <w:spacing w:line="360" w:lineRule="auto"/>
        <w:ind w:firstLine="422" w:firstLineChars="200"/>
        <w:jc w:val="lef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4、审核报告仅发放至审核委托方及本公司。</w:t>
      </w:r>
    </w:p>
    <w:p/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24895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98" w:leftChars="-41" w:firstLine="810" w:firstLineChars="450"/>
      <w:jc w:val="left"/>
      <w:rPr>
        <w:rStyle w:val="11"/>
        <w:rFonts w:hint="default"/>
      </w:rP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Style w:val="11"/>
        <w:rFonts w:hint="default"/>
      </w:rPr>
      <w:t>北京国标联合认证有限公司</w:t>
    </w:r>
    <w:r>
      <w:rPr>
        <w:rStyle w:val="11"/>
        <w:rFonts w:hint="default"/>
      </w:rPr>
      <w:tab/>
    </w:r>
    <w:r>
      <w:rPr>
        <w:rStyle w:val="11"/>
        <w:rFonts w:hint="default"/>
      </w:rPr>
      <w:tab/>
    </w:r>
    <w:r>
      <w:rPr>
        <w:rStyle w:val="11"/>
        <w:rFonts w:hint="default"/>
      </w:rPr>
      <w:tab/>
    </w:r>
  </w:p>
  <w:p>
    <w:pPr>
      <w:pStyle w:val="4"/>
      <w:pBdr>
        <w:bottom w:val="none" w:color="auto" w:sz="0" w:space="0"/>
      </w:pBdr>
      <w:spacing w:line="320" w:lineRule="exact"/>
      <w:ind w:firstLine="720" w:firstLineChars="400"/>
      <w:jc w:val="left"/>
    </w:pPr>
    <w:r>
      <w:pict>
        <v:shape id="_x0000_s2049" o:spid="_x0000_s2049" o:spt="202" type="#_x0000_t202" style="position:absolute;left:0pt;margin-left:330.5pt;margin-top:2.2pt;height:20.2pt;width:155.5pt;z-index:251659264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r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>
                  <w:rPr>
                    <w:rFonts w:hint="eastAsia"/>
                    <w:sz w:val="18"/>
                    <w:szCs w:val="18"/>
                  </w:rPr>
                  <w:t>-I-05 一阶段审核计划(03版)</w:t>
                </w:r>
              </w:p>
            </w:txbxContent>
          </v:textbox>
        </v:shape>
      </w:pict>
    </w:r>
    <w:r>
      <w:rPr>
        <w:rStyle w:val="11"/>
        <w:rFonts w:hint="default"/>
        <w:w w:val="90"/>
      </w:rPr>
      <w:t>Beijing International Standard united Certification Co.,Ltd.</w:t>
    </w:r>
  </w:p>
  <w:p>
    <w:pPr>
      <w:pStyle w:val="4"/>
      <w:tabs>
        <w:tab w:val="left" w:pos="4155"/>
        <w:tab w:val="clear" w:pos="4153"/>
      </w:tabs>
      <w:jc w:val="both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B91558"/>
    <w:multiLevelType w:val="multilevel"/>
    <w:tmpl w:val="11B91558"/>
    <w:lvl w:ilvl="0" w:tentative="0">
      <w:start w:val="1"/>
      <w:numFmt w:val="decimal"/>
      <w:lvlText w:val="%1)"/>
      <w:lvlJc w:val="left"/>
      <w:pPr>
        <w:ind w:left="852" w:hanging="420"/>
      </w:pPr>
    </w:lvl>
    <w:lvl w:ilvl="1" w:tentative="0">
      <w:start w:val="1"/>
      <w:numFmt w:val="lowerLetter"/>
      <w:lvlText w:val="%2)"/>
      <w:lvlJc w:val="left"/>
      <w:pPr>
        <w:ind w:left="1272" w:hanging="420"/>
      </w:pPr>
    </w:lvl>
    <w:lvl w:ilvl="2" w:tentative="0">
      <w:start w:val="1"/>
      <w:numFmt w:val="lowerRoman"/>
      <w:lvlText w:val="%3."/>
      <w:lvlJc w:val="right"/>
      <w:pPr>
        <w:ind w:left="1692" w:hanging="420"/>
      </w:pPr>
    </w:lvl>
    <w:lvl w:ilvl="3" w:tentative="0">
      <w:start w:val="1"/>
      <w:numFmt w:val="decimal"/>
      <w:lvlText w:val="%4."/>
      <w:lvlJc w:val="left"/>
      <w:pPr>
        <w:ind w:left="2112" w:hanging="420"/>
      </w:pPr>
    </w:lvl>
    <w:lvl w:ilvl="4" w:tentative="0">
      <w:start w:val="1"/>
      <w:numFmt w:val="lowerLetter"/>
      <w:lvlText w:val="%5)"/>
      <w:lvlJc w:val="left"/>
      <w:pPr>
        <w:ind w:left="2532" w:hanging="420"/>
      </w:pPr>
    </w:lvl>
    <w:lvl w:ilvl="5" w:tentative="0">
      <w:start w:val="1"/>
      <w:numFmt w:val="lowerRoman"/>
      <w:lvlText w:val="%6."/>
      <w:lvlJc w:val="right"/>
      <w:pPr>
        <w:ind w:left="2952" w:hanging="420"/>
      </w:pPr>
    </w:lvl>
    <w:lvl w:ilvl="6" w:tentative="0">
      <w:start w:val="1"/>
      <w:numFmt w:val="decimal"/>
      <w:lvlText w:val="%7."/>
      <w:lvlJc w:val="left"/>
      <w:pPr>
        <w:ind w:left="3372" w:hanging="420"/>
      </w:pPr>
    </w:lvl>
    <w:lvl w:ilvl="7" w:tentative="0">
      <w:start w:val="1"/>
      <w:numFmt w:val="lowerLetter"/>
      <w:lvlText w:val="%8)"/>
      <w:lvlJc w:val="left"/>
      <w:pPr>
        <w:ind w:left="3792" w:hanging="420"/>
      </w:pPr>
    </w:lvl>
    <w:lvl w:ilvl="8" w:tentative="0">
      <w:start w:val="1"/>
      <w:numFmt w:val="lowerRoman"/>
      <w:lvlText w:val="%9."/>
      <w:lvlJc w:val="right"/>
      <w:pPr>
        <w:ind w:left="421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64148A4"/>
    <w:rsid w:val="0D625360"/>
    <w:rsid w:val="14EF10CF"/>
    <w:rsid w:val="22E6453A"/>
    <w:rsid w:val="29020CFB"/>
    <w:rsid w:val="4F6413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字符"/>
    <w:basedOn w:val="6"/>
    <w:link w:val="2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189</Words>
  <Characters>1080</Characters>
  <Lines>9</Lines>
  <Paragraphs>2</Paragraphs>
  <TotalTime>0</TotalTime>
  <ScaleCrop>false</ScaleCrop>
  <LinksUpToDate>false</LinksUpToDate>
  <CharactersWithSpaces>1267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2015-06-17T12:16:00Z</dcterms:created>
  <dc:creator>微软用户</dc:creator>
  <cp:lastModifiedBy>郭力</cp:lastModifiedBy>
  <cp:lastPrinted>2019-03-27T03:10:00Z</cp:lastPrinted>
  <dcterms:modified xsi:type="dcterms:W3CDTF">2021-04-02T14:15:22Z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5845DC5A7A8A44EEA2BAE152A74D77C9</vt:lpwstr>
  </property>
</Properties>
</file>